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9D9DB" w14:textId="736B27AD" w:rsidR="00C81BC0" w:rsidRDefault="00DF404B">
      <w:pPr>
        <w:spacing w:before="0" w:after="0"/>
        <w:ind w:left="0" w:firstLine="567"/>
        <w:jc w:val="center"/>
        <w:rPr>
          <w:rFonts w:eastAsia="Times New Roman" w:cs="Times New Roman"/>
          <w:color w:val="1B1B1B"/>
          <w:szCs w:val="28"/>
        </w:rPr>
      </w:pPr>
      <w:r>
        <w:rPr>
          <w:rFonts w:eastAsia="Times New Roman" w:cs="Times New Roman"/>
          <w:b/>
          <w:bCs/>
          <w:color w:val="1B1B1B"/>
          <w:szCs w:val="28"/>
        </w:rPr>
        <w:t xml:space="preserve">BẢN THÔNG TIN TÓM TẮT </w:t>
      </w:r>
      <w:r w:rsidR="001E23B6">
        <w:rPr>
          <w:rFonts w:eastAsia="Times New Roman" w:cs="Times New Roman"/>
          <w:b/>
          <w:bCs/>
          <w:color w:val="1B1B1B"/>
          <w:szCs w:val="28"/>
        </w:rPr>
        <w:t>ĐỀ ÁN</w:t>
      </w:r>
      <w:r>
        <w:rPr>
          <w:rFonts w:eastAsia="Times New Roman" w:cs="Times New Roman"/>
          <w:b/>
          <w:bCs/>
          <w:color w:val="1B1B1B"/>
          <w:szCs w:val="28"/>
        </w:rPr>
        <w:t xml:space="preserve"> THẠC SĨ</w:t>
      </w:r>
      <w:r>
        <w:rPr>
          <w:rFonts w:eastAsia="Times New Roman" w:cs="Times New Roman"/>
          <w:b/>
          <w:bCs/>
          <w:color w:val="1B1B1B"/>
          <w:szCs w:val="28"/>
        </w:rPr>
        <w:br/>
      </w:r>
    </w:p>
    <w:p w14:paraId="05B77D68" w14:textId="5F6F47A5" w:rsidR="00C81BC0" w:rsidRDefault="00DF404B">
      <w:pPr>
        <w:ind w:left="0" w:firstLine="567"/>
        <w:rPr>
          <w:rFonts w:eastAsia="Times New Roman" w:cs="Times New Roman"/>
          <w:b/>
          <w:bCs/>
          <w:color w:val="1B1B1B"/>
          <w:szCs w:val="28"/>
        </w:rPr>
      </w:pPr>
      <w:r>
        <w:rPr>
          <w:rFonts w:eastAsia="Times New Roman" w:cs="Times New Roman"/>
          <w:color w:val="1B1B1B"/>
          <w:szCs w:val="28"/>
        </w:rPr>
        <w:t xml:space="preserve">Tác giả: </w:t>
      </w:r>
      <w:r>
        <w:rPr>
          <w:rFonts w:eastAsia="Times New Roman" w:cs="Times New Roman"/>
          <w:b/>
          <w:bCs/>
          <w:color w:val="1B1B1B"/>
          <w:szCs w:val="28"/>
        </w:rPr>
        <w:t>HỒ THỊ HUYỀN TRNAG</w:t>
      </w:r>
    </w:p>
    <w:p w14:paraId="6B529FE6" w14:textId="77777777" w:rsidR="00C81BC0" w:rsidRDefault="00DF404B">
      <w:pPr>
        <w:ind w:left="0" w:firstLine="567"/>
        <w:rPr>
          <w:rFonts w:eastAsia="Times New Roman" w:cs="Times New Roman"/>
          <w:color w:val="1B1B1B"/>
          <w:szCs w:val="28"/>
        </w:rPr>
      </w:pPr>
      <w:r>
        <w:rPr>
          <w:rFonts w:eastAsia="Times New Roman" w:cs="Times New Roman"/>
          <w:color w:val="1B1B1B"/>
          <w:szCs w:val="28"/>
        </w:rPr>
        <w:t>Chuyên ngành đào tạo: Luật Kinh tế</w:t>
      </w:r>
    </w:p>
    <w:p w14:paraId="5BCD1F55" w14:textId="77777777" w:rsidR="00C81BC0" w:rsidRDefault="00DF404B">
      <w:pPr>
        <w:ind w:left="0" w:firstLine="567"/>
        <w:rPr>
          <w:rFonts w:eastAsia="Times New Roman" w:cs="Times New Roman"/>
          <w:color w:val="1B1B1B"/>
          <w:szCs w:val="28"/>
        </w:rPr>
      </w:pPr>
      <w:r>
        <w:rPr>
          <w:rFonts w:eastAsia="Times New Roman" w:cs="Times New Roman"/>
          <w:color w:val="1B1B1B"/>
          <w:szCs w:val="28"/>
        </w:rPr>
        <w:t>Năm tốt nghiệp: 2022 - 2024</w:t>
      </w:r>
    </w:p>
    <w:p w14:paraId="1AE6C7BD" w14:textId="77777777" w:rsidR="00DF404B" w:rsidRDefault="00DF404B">
      <w:pPr>
        <w:ind w:left="0" w:firstLine="567"/>
        <w:rPr>
          <w:color w:val="000000"/>
          <w:sz w:val="26"/>
          <w:szCs w:val="26"/>
        </w:rPr>
      </w:pPr>
      <w:r>
        <w:rPr>
          <w:rFonts w:eastAsia="Times New Roman" w:cs="Times New Roman"/>
          <w:color w:val="1B1B1B"/>
          <w:szCs w:val="28"/>
        </w:rPr>
        <w:t xml:space="preserve">Tên đề tài: </w:t>
      </w:r>
      <w:r w:rsidRPr="00537150">
        <w:rPr>
          <w:rStyle w:val="Strong"/>
          <w:i/>
          <w:color w:val="000000"/>
          <w:sz w:val="26"/>
          <w:szCs w:val="26"/>
        </w:rPr>
        <w:t>“Pháp luật về bán đấu giá trong thi hành án dân sự và thực tiễn áp dụng tại Phòng Thi hành án dân sự khu vực 12 -Phú Thọ”</w:t>
      </w:r>
      <w:r w:rsidRPr="00537150">
        <w:rPr>
          <w:color w:val="000000"/>
          <w:sz w:val="26"/>
          <w:szCs w:val="26"/>
        </w:rPr>
        <w:t xml:space="preserve"> </w:t>
      </w:r>
    </w:p>
    <w:p w14:paraId="3A0DD853" w14:textId="77777777" w:rsidR="00DF404B" w:rsidRDefault="00DF404B" w:rsidP="00DF404B">
      <w:pPr>
        <w:spacing w:after="0" w:line="360" w:lineRule="auto"/>
        <w:ind w:left="0" w:firstLine="0"/>
        <w:jc w:val="center"/>
        <w:rPr>
          <w:rFonts w:eastAsia="Times New Roman"/>
          <w:b/>
          <w:sz w:val="26"/>
          <w:szCs w:val="26"/>
        </w:rPr>
      </w:pPr>
      <w:r w:rsidRPr="002E3A29">
        <w:rPr>
          <w:rFonts w:eastAsia="Times New Roman"/>
          <w:b/>
          <w:sz w:val="26"/>
          <w:szCs w:val="26"/>
        </w:rPr>
        <w:t xml:space="preserve">TÓM TẮT </w:t>
      </w:r>
      <w:r>
        <w:rPr>
          <w:rFonts w:eastAsia="Times New Roman"/>
          <w:b/>
          <w:sz w:val="26"/>
          <w:szCs w:val="26"/>
        </w:rPr>
        <w:t>ĐỀ ÁN</w:t>
      </w:r>
    </w:p>
    <w:p w14:paraId="34BDBBBE" w14:textId="77777777" w:rsidR="00DF404B" w:rsidRDefault="00DF404B" w:rsidP="00DF404B">
      <w:pPr>
        <w:spacing w:after="0" w:line="360" w:lineRule="auto"/>
        <w:ind w:left="0" w:firstLine="720"/>
        <w:rPr>
          <w:rFonts w:eastAsia="Times New Roman"/>
          <w:b/>
          <w:sz w:val="26"/>
          <w:szCs w:val="26"/>
        </w:rPr>
      </w:pPr>
      <w:r w:rsidRPr="008C16E9">
        <w:rPr>
          <w:rFonts w:eastAsia="Times New Roman"/>
          <w:sz w:val="26"/>
          <w:szCs w:val="26"/>
        </w:rPr>
        <w:t xml:space="preserve">Trong thi hành án dân sự, bán đấu giá tài sản là phương thức chủ yếu nhằm xử lý tài sản của người phải thi hành án để bảo đảm thực hiện nghĩa vụ theo bản án, quyết định đã có hiệu lực pháp luật. Pháp luật về bán đấu giá trong thi hành án dân sự giữ vai trò đặc biệt quan trọng trong việc bảo đảm tính công khai, minh bạch, khách quan, bảo vệ quyền và lợi ích hợp pháp của các đương sự, đồng thời góp phần nâng cao hiệu quả công tác thi hành án dân sự. Tuy nhiên, thực tiễn áp dụng các quy định pháp luật về bán đấu giá tài sản thi hành án thời gian qua cho thấy vẫn còn tồn tại nhiều vướng mắc, bất cập, đặc biệt trong các khâu định giá, lựa chọn tổ chức đấu giá, thông báo công khai, tổ chức cuộc đấu giá và xử lý kết quả đấu giá. Đây chính là vấn đề nghiên cứu trọng tâm của đề tài </w:t>
      </w:r>
      <w:r w:rsidRPr="00764EC8">
        <w:rPr>
          <w:rFonts w:eastAsia="Times New Roman"/>
          <w:b/>
          <w:i/>
          <w:sz w:val="26"/>
          <w:szCs w:val="26"/>
        </w:rPr>
        <w:t>“Pháp luật về bán đấu giá trong thi hành án dân sự và thực tiễn áp dụng tại Phòng Thi hành án dân sự khu vực 12 – Phú Thọ”.</w:t>
      </w:r>
    </w:p>
    <w:p w14:paraId="5001099A" w14:textId="77777777" w:rsidR="00DF404B" w:rsidRDefault="00DF404B" w:rsidP="00DF404B">
      <w:pPr>
        <w:spacing w:after="0" w:line="360" w:lineRule="auto"/>
        <w:ind w:left="0" w:firstLine="720"/>
        <w:rPr>
          <w:rFonts w:eastAsia="Times New Roman"/>
          <w:b/>
          <w:sz w:val="26"/>
          <w:szCs w:val="26"/>
        </w:rPr>
      </w:pPr>
      <w:r w:rsidRPr="008C16E9">
        <w:rPr>
          <w:rFonts w:eastAsia="Times New Roman"/>
          <w:sz w:val="26"/>
          <w:szCs w:val="26"/>
        </w:rPr>
        <w:t>Vấn đề nghiên cứu của đề tài được đặt ra trên cả phương diện lý luận và thực tiễn. Trên phương diện lý luận, đề tài tập trung làm rõ cơ sở pháp lý của hoạt động bán đấu giá tài sản trong thi hành án dân sự, nội dung các quy định hiện hành của pháp luật có liên quan, mối quan hệ giữa Luật Thi hành án dân sự và Luật Đấu giá tài sản cùng các văn bản hướng dẫn thi hành. Trên phương diện thực tiễn, đề tài đi sâu phân tích việc tổ chức thực hiện các quy định pháp luật về bán đấu giá tài sản thi hành án tại Phòng Thi hành án dân sự khu vực 12 – Phú Thọ, qua đó chỉ ra những khó khăn, vướng mắc phát sinh trong quá trình áp dụng pháp luật, nguyên nhân của những hạn chế đó và tác động của chúng đến hiệu quả thi hành án dân sự trên địa bàn.</w:t>
      </w:r>
    </w:p>
    <w:p w14:paraId="4589CE2E" w14:textId="77777777" w:rsidR="00DF404B" w:rsidRDefault="00DF404B" w:rsidP="00DF404B">
      <w:pPr>
        <w:spacing w:after="0" w:line="360" w:lineRule="auto"/>
        <w:ind w:left="0" w:firstLine="720"/>
        <w:rPr>
          <w:rFonts w:eastAsia="Times New Roman"/>
          <w:b/>
          <w:sz w:val="26"/>
          <w:szCs w:val="26"/>
        </w:rPr>
      </w:pPr>
      <w:r w:rsidRPr="008C16E9">
        <w:rPr>
          <w:rFonts w:eastAsia="Times New Roman"/>
          <w:sz w:val="26"/>
          <w:szCs w:val="26"/>
        </w:rPr>
        <w:t xml:space="preserve">Để giải quyết các vấn đề nghiên cứu đã đặt ra, đề tài tiếp cận theo nhiều hướng khác nhau nhằm bảo đảm tính toàn diện và khách quan. Trước hết, đề tài tiếp cận theo hướng pháp lý – lý luận, trên cơ sở nghiên cứu các quy định của pháp luật hiện hành về bán đấu giá tài sản trong thi hành án dân sự, bao gồm Luật Thi hành án dân sự, Luật </w:t>
      </w:r>
      <w:r w:rsidRPr="008C16E9">
        <w:rPr>
          <w:rFonts w:eastAsia="Times New Roman"/>
          <w:sz w:val="26"/>
          <w:szCs w:val="26"/>
        </w:rPr>
        <w:lastRenderedPageBreak/>
        <w:t>Đấu giá tài sản và các nghị định, thông tư hướng dẫn có liên quan. Trên cơ sở đó, đề tài làm rõ các nguyên tắc, trình tự, thủ tục bán đấu giá tài sản thi hành án cũng như trách nhiệm của các chủ thể có liên quan trong hoạt động này. Bên cạnh đó, đề tài tiếp cận theo hướng thực tiễn, thông qua việc nghiên cứu hồ sơ thi hành án, các quyết định, biên bản, báo cáo chuyên môn và tình hình tổ chức bán đấu giá tài sản tại Phòng Thi hành án dân sự khu vực 12 – Phú Thọ trong những năm gần đây. Việc kết hợp giữa tiếp cận lý luận và tiếp cận thực tiễn giúp đề tài đánh giá đúng mức độ phù hợp của pháp luật với thực tiễn thi hành.</w:t>
      </w:r>
    </w:p>
    <w:p w14:paraId="770751F2" w14:textId="77777777" w:rsidR="00DF404B" w:rsidRDefault="00DF404B" w:rsidP="00DF404B">
      <w:pPr>
        <w:spacing w:after="0" w:line="360" w:lineRule="auto"/>
        <w:ind w:left="0" w:firstLine="720"/>
        <w:rPr>
          <w:rFonts w:eastAsia="Times New Roman"/>
          <w:b/>
          <w:sz w:val="26"/>
          <w:szCs w:val="26"/>
        </w:rPr>
      </w:pPr>
      <w:r w:rsidRPr="008C16E9">
        <w:rPr>
          <w:rFonts w:eastAsia="Times New Roman"/>
          <w:sz w:val="26"/>
          <w:szCs w:val="26"/>
        </w:rPr>
        <w:t>Cách giải quyết vấn đề nghiên cứu của đề tài được triển khai thông qua việc sử dụng tổng hợp các phương pháp nghiên cứu khoa học pháp lý như phương pháp phân tích, tổng hợp, so sánh, thống kê và nghiên cứu tình huống. Trên cơ sở phân tích các quy định pháp luật hiện hành, đề tài tiến hành đối chiếu với thực tiễn áp dụng tại Phòng Thi hành án dân sự khu vực 12 – Phú Thọ để làm rõ những điểm còn chưa thống nhất, những quy định còn mang tính nguyên tắc, thiếu tính khả thi hoặc chưa phù hợp với điều kiện thực tế. Đồng thời, đề tài cũng xem xét các vụ việc cụ thể đã được tổ chức bán đấu giá tài sản nhằm minh họa rõ nét hơn cho những tồn tại, hạn chế trong quá trình áp dụng pháp luật. Trên cơ sở đó, đề tài đề xuất các giải pháp hoàn thiện pháp luật cũng như giải pháp nâng cao hiệu quả tổ chức thực hiện bán đấu giá tài sản trong thi hành án dân sự.</w:t>
      </w:r>
    </w:p>
    <w:p w14:paraId="6A916551" w14:textId="77777777" w:rsidR="00DF404B" w:rsidRDefault="00DF404B" w:rsidP="00DF404B">
      <w:pPr>
        <w:spacing w:after="0" w:line="360" w:lineRule="auto"/>
        <w:ind w:left="0" w:firstLine="720"/>
        <w:rPr>
          <w:rFonts w:eastAsia="Times New Roman"/>
          <w:b/>
          <w:sz w:val="26"/>
          <w:szCs w:val="26"/>
        </w:rPr>
      </w:pPr>
      <w:r w:rsidRPr="008C16E9">
        <w:rPr>
          <w:rFonts w:eastAsia="Times New Roman"/>
          <w:sz w:val="26"/>
          <w:szCs w:val="26"/>
        </w:rPr>
        <w:t xml:space="preserve">Thông qua quá trình nghiên cứu, đề tài đã đạt được một số kết quả và phát hiện cơ bản. </w:t>
      </w:r>
    </w:p>
    <w:p w14:paraId="4C86A93A" w14:textId="77777777" w:rsidR="00DF404B" w:rsidRDefault="00DF404B" w:rsidP="00DF404B">
      <w:pPr>
        <w:spacing w:after="0" w:line="360" w:lineRule="auto"/>
        <w:ind w:left="0" w:firstLine="720"/>
        <w:rPr>
          <w:rFonts w:eastAsia="Times New Roman"/>
          <w:b/>
          <w:sz w:val="26"/>
          <w:szCs w:val="26"/>
        </w:rPr>
      </w:pPr>
      <w:r w:rsidRPr="008C16E9">
        <w:rPr>
          <w:rFonts w:eastAsia="Times New Roman"/>
          <w:sz w:val="26"/>
          <w:szCs w:val="26"/>
        </w:rPr>
        <w:t xml:space="preserve">Thứ nhất, đề tài chỉ ra rằng hệ thống pháp luật về bán đấu giá tài sản trong thi hành án dân sự về cơ bản đã được xây dựng tương đối đầy đủ, tạo hành lang pháp lý cho hoạt động xử lý tài sản thi hành án. Tuy nhiên, vẫn còn tồn tại sự chồng chéo, thiếu thống nhất giữa một số quy định của pháp luật về thi hành án dân sự và pháp luật về đấu giá tài sản, đặc biệt trong vấn đề xác định giá khởi điểm, lựa chọn tổ chức đấu giá và xử lý trường hợp đấu giá không thành. </w:t>
      </w:r>
    </w:p>
    <w:p w14:paraId="539D735B" w14:textId="77777777" w:rsidR="00DF404B" w:rsidRDefault="00DF404B" w:rsidP="00DF404B">
      <w:pPr>
        <w:spacing w:after="0" w:line="360" w:lineRule="auto"/>
        <w:ind w:left="0" w:firstLine="720"/>
        <w:rPr>
          <w:rFonts w:eastAsia="Times New Roman"/>
          <w:b/>
          <w:sz w:val="26"/>
          <w:szCs w:val="26"/>
        </w:rPr>
      </w:pPr>
      <w:r>
        <w:rPr>
          <w:rFonts w:eastAsia="Times New Roman"/>
          <w:sz w:val="26"/>
          <w:szCs w:val="26"/>
        </w:rPr>
        <w:t>T</w:t>
      </w:r>
      <w:r w:rsidRPr="008C16E9">
        <w:rPr>
          <w:rFonts w:eastAsia="Times New Roman"/>
          <w:sz w:val="26"/>
          <w:szCs w:val="26"/>
        </w:rPr>
        <w:t xml:space="preserve">hứ hai, thực tiễn tại Phòng Thi hành án dân sự khu vực 12 – Phú Thọ cho thấy công tác bán đấu giá tài sản còn gặp nhiều khó khăn do số lượng tài sản khó bán, giá trị lớn, người phải thi hành án không hợp tác, kéo dài thời gian xử lý tài sản, ảnh hưởng đến quyền lợi của người được thi hành án. </w:t>
      </w:r>
    </w:p>
    <w:p w14:paraId="4E73AF24" w14:textId="77777777" w:rsidR="00DF404B" w:rsidRDefault="00DF404B" w:rsidP="00DF404B">
      <w:pPr>
        <w:spacing w:after="0" w:line="360" w:lineRule="auto"/>
        <w:ind w:left="0" w:firstLine="720"/>
        <w:rPr>
          <w:rFonts w:eastAsia="Times New Roman"/>
          <w:b/>
          <w:sz w:val="26"/>
          <w:szCs w:val="26"/>
        </w:rPr>
      </w:pPr>
      <w:r w:rsidRPr="008C16E9">
        <w:rPr>
          <w:rFonts w:eastAsia="Times New Roman"/>
          <w:sz w:val="26"/>
          <w:szCs w:val="26"/>
        </w:rPr>
        <w:lastRenderedPageBreak/>
        <w:t>Thứ ba, đề tài phát hiện rằng việc tổ chức thực hiện pháp luật về bán đấu giá tài sản thi hành án còn phụ thuộc nhiều vào năng lực, kinh nghiệm của chấp hành viên và sự phối hợp giữa các cơ quan, tổ chức có liên quan, trong khi cơ chế phối hợp này chưa thật sự đồng bộ và hiệu quả.</w:t>
      </w:r>
    </w:p>
    <w:p w14:paraId="013C67B8" w14:textId="4712E792" w:rsidR="00DF404B" w:rsidRPr="00DF404B" w:rsidRDefault="00DF404B" w:rsidP="00DF404B">
      <w:pPr>
        <w:spacing w:after="0" w:line="360" w:lineRule="auto"/>
        <w:ind w:left="0" w:firstLine="720"/>
        <w:rPr>
          <w:rFonts w:eastAsia="Times New Roman"/>
          <w:b/>
          <w:sz w:val="26"/>
          <w:szCs w:val="26"/>
        </w:rPr>
      </w:pPr>
      <w:r w:rsidRPr="008C16E9">
        <w:rPr>
          <w:rFonts w:eastAsia="Times New Roman"/>
          <w:sz w:val="26"/>
          <w:szCs w:val="26"/>
        </w:rPr>
        <w:t>Từ những kết quả nghiên cứu và phát hiện nêu trên, đề tài góp phần làm rõ những vấn đề lý luận và thực tiễn của pháp luật về bán đấu giá trong thi hành án dân sự, đồng thời cung cấp cơ sở khoa học cho việc đề xuất các giải pháp hoàn thiện pháp luật và nâng cao hiệu quả áp dụng pháp luật về bán đấu giá tài sản thi hành án tại Phòng Thi hành án dân sự</w:t>
      </w:r>
      <w:bookmarkStart w:id="0" w:name="_GoBack"/>
      <w:bookmarkEnd w:id="0"/>
      <w:r w:rsidRPr="008C16E9">
        <w:rPr>
          <w:rFonts w:eastAsia="Times New Roman"/>
          <w:sz w:val="26"/>
          <w:szCs w:val="26"/>
        </w:rPr>
        <w:t xml:space="preserve"> khu vực 12 – Phú Thọ nói riêng và trong thi hành án dân sự nói chung.</w:t>
      </w:r>
    </w:p>
    <w:p w14:paraId="22091E19" w14:textId="77777777" w:rsidR="00DF404B" w:rsidRDefault="00DF404B" w:rsidP="00DF404B"/>
    <w:tbl>
      <w:tblPr>
        <w:tblW w:w="0" w:type="auto"/>
        <w:tblInd w:w="5318" w:type="dxa"/>
        <w:tblLayout w:type="fixed"/>
        <w:tblLook w:val="04A0" w:firstRow="1" w:lastRow="0" w:firstColumn="1" w:lastColumn="0" w:noHBand="0" w:noVBand="1"/>
      </w:tblPr>
      <w:tblGrid>
        <w:gridCol w:w="3000"/>
      </w:tblGrid>
      <w:tr w:rsidR="00C81BC0" w14:paraId="14CA2327" w14:textId="77777777">
        <w:tc>
          <w:tcPr>
            <w:tcW w:w="3000" w:type="dxa"/>
            <w:vAlign w:val="center"/>
            <w:hideMark/>
          </w:tcPr>
          <w:p w14:paraId="5220EF91" w14:textId="77777777" w:rsidR="00C81BC0" w:rsidRDefault="00DF404B" w:rsidP="00DF404B">
            <w:pPr>
              <w:spacing w:before="0" w:after="0"/>
              <w:ind w:left="0" w:firstLine="0"/>
              <w:jc w:val="center"/>
              <w:rPr>
                <w:rFonts w:eastAsia="Times New Roman" w:cs="Times New Roman"/>
                <w:b/>
                <w:bCs/>
                <w:color w:val="000000"/>
                <w:szCs w:val="28"/>
              </w:rPr>
            </w:pPr>
            <w:r>
              <w:rPr>
                <w:rFonts w:eastAsia="Times New Roman" w:cs="Times New Roman"/>
                <w:b/>
                <w:bCs/>
                <w:color w:val="000000"/>
                <w:szCs w:val="28"/>
              </w:rPr>
              <w:t>Tác giả Đề án</w:t>
            </w:r>
          </w:p>
          <w:p w14:paraId="5493639E" w14:textId="77777777" w:rsidR="00C81BC0" w:rsidRDefault="00C81BC0" w:rsidP="00DF404B">
            <w:pPr>
              <w:spacing w:before="0" w:after="0"/>
              <w:ind w:left="0" w:firstLine="567"/>
              <w:jc w:val="center"/>
              <w:rPr>
                <w:rFonts w:eastAsia="Times New Roman" w:cs="Times New Roman"/>
                <w:b/>
                <w:bCs/>
                <w:color w:val="000000"/>
                <w:szCs w:val="28"/>
              </w:rPr>
            </w:pPr>
          </w:p>
          <w:p w14:paraId="35618B5A" w14:textId="77777777" w:rsidR="00C81BC0" w:rsidRDefault="00C81BC0" w:rsidP="00DF404B">
            <w:pPr>
              <w:spacing w:before="0" w:after="0"/>
              <w:ind w:left="0" w:firstLine="567"/>
              <w:jc w:val="center"/>
              <w:rPr>
                <w:rFonts w:eastAsia="Times New Roman" w:cs="Times New Roman"/>
                <w:b/>
                <w:bCs/>
                <w:color w:val="000000"/>
                <w:szCs w:val="28"/>
              </w:rPr>
            </w:pPr>
          </w:p>
          <w:p w14:paraId="7A2BC532" w14:textId="77777777" w:rsidR="00C81BC0" w:rsidRDefault="00C81BC0" w:rsidP="00DF404B">
            <w:pPr>
              <w:spacing w:before="0" w:after="0"/>
              <w:ind w:left="0" w:firstLine="567"/>
              <w:jc w:val="center"/>
              <w:rPr>
                <w:rFonts w:eastAsia="Times New Roman" w:cs="Times New Roman"/>
                <w:b/>
                <w:bCs/>
                <w:color w:val="000000"/>
                <w:szCs w:val="28"/>
              </w:rPr>
            </w:pPr>
          </w:p>
          <w:p w14:paraId="7C3916A2" w14:textId="77777777" w:rsidR="00C81BC0" w:rsidRDefault="00C81BC0" w:rsidP="00DF404B">
            <w:pPr>
              <w:spacing w:before="0" w:after="0"/>
              <w:ind w:left="0" w:firstLine="567"/>
              <w:jc w:val="center"/>
              <w:rPr>
                <w:rFonts w:eastAsia="Times New Roman" w:cs="Times New Roman"/>
                <w:b/>
                <w:bCs/>
                <w:color w:val="000000"/>
                <w:szCs w:val="28"/>
              </w:rPr>
            </w:pPr>
          </w:p>
          <w:p w14:paraId="35262E47" w14:textId="4EC7FABD" w:rsidR="00C81BC0" w:rsidRDefault="00DF404B" w:rsidP="00DF404B">
            <w:pPr>
              <w:spacing w:before="0" w:after="0"/>
              <w:ind w:left="0" w:firstLine="567"/>
              <w:jc w:val="center"/>
              <w:rPr>
                <w:rFonts w:eastAsia="Times New Roman" w:cs="Times New Roman"/>
                <w:sz w:val="24"/>
                <w:szCs w:val="24"/>
              </w:rPr>
            </w:pPr>
            <w:r>
              <w:rPr>
                <w:rFonts w:eastAsia="Times New Roman" w:cs="Times New Roman"/>
                <w:b/>
                <w:bCs/>
                <w:color w:val="000000"/>
                <w:szCs w:val="28"/>
              </w:rPr>
              <w:br/>
            </w:r>
            <w:r>
              <w:rPr>
                <w:rFonts w:eastAsia="Times New Roman" w:cs="Times New Roman"/>
                <w:sz w:val="24"/>
                <w:szCs w:val="24"/>
              </w:rPr>
              <w:t>Hồ Thị Huyền Trang</w:t>
            </w:r>
          </w:p>
        </w:tc>
      </w:tr>
    </w:tbl>
    <w:p w14:paraId="29B33BFA" w14:textId="77777777" w:rsidR="00C81BC0" w:rsidRDefault="00C81BC0" w:rsidP="00DF404B">
      <w:pPr>
        <w:ind w:firstLine="567"/>
      </w:pPr>
    </w:p>
    <w:sectPr w:rsidR="00C81BC0">
      <w:pgSz w:w="11907" w:h="16840" w:code="9"/>
      <w:pgMar w:top="1134" w:right="1134" w:bottom="1134" w:left="1701" w:header="720" w:footer="720"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281"/>
  <w:drawingGridVerticalSpacing w:val="19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C0"/>
    <w:rsid w:val="001E23B6"/>
    <w:rsid w:val="00350504"/>
    <w:rsid w:val="008648C6"/>
    <w:rsid w:val="00970A9C"/>
    <w:rsid w:val="00C81BC0"/>
    <w:rsid w:val="00DF404B"/>
    <w:rsid w:val="00EE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ind w:left="144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hint="default"/>
      <w:b/>
      <w:bCs/>
      <w:i w:val="0"/>
      <w:iCs w:val="0"/>
      <w:color w:val="1B1B1B"/>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1B1B1B"/>
      <w:sz w:val="28"/>
      <w:szCs w:val="28"/>
    </w:rPr>
  </w:style>
  <w:style w:type="character" w:customStyle="1" w:styleId="fontstyle31">
    <w:name w:val="fontstyle31"/>
    <w:basedOn w:val="DefaultParagraphFont"/>
    <w:rPr>
      <w:rFonts w:ascii="Times New Roman" w:hAnsi="Times New Roman" w:cs="Times New Roman" w:hint="default"/>
      <w:b w:val="0"/>
      <w:bCs w:val="0"/>
      <w:i/>
      <w:iCs/>
      <w:color w:val="000000"/>
      <w:sz w:val="28"/>
      <w:szCs w:val="28"/>
    </w:rPr>
  </w:style>
  <w:style w:type="character" w:styleId="Strong">
    <w:name w:val="Strong"/>
    <w:uiPriority w:val="22"/>
    <w:qFormat/>
    <w:rsid w:val="00DF404B"/>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ind w:left="144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hint="default"/>
      <w:b/>
      <w:bCs/>
      <w:i w:val="0"/>
      <w:iCs w:val="0"/>
      <w:color w:val="1B1B1B"/>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1B1B1B"/>
      <w:sz w:val="28"/>
      <w:szCs w:val="28"/>
    </w:rPr>
  </w:style>
  <w:style w:type="character" w:customStyle="1" w:styleId="fontstyle31">
    <w:name w:val="fontstyle31"/>
    <w:basedOn w:val="DefaultParagraphFont"/>
    <w:rPr>
      <w:rFonts w:ascii="Times New Roman" w:hAnsi="Times New Roman" w:cs="Times New Roman" w:hint="default"/>
      <w:b w:val="0"/>
      <w:bCs w:val="0"/>
      <w:i/>
      <w:iCs/>
      <w:color w:val="000000"/>
      <w:sz w:val="28"/>
      <w:szCs w:val="28"/>
    </w:rPr>
  </w:style>
  <w:style w:type="character" w:styleId="Strong">
    <w:name w:val="Strong"/>
    <w:uiPriority w:val="22"/>
    <w:qFormat/>
    <w:rsid w:val="00DF404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15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TCHC-UBND</dc:creator>
  <cp:lastModifiedBy>USER</cp:lastModifiedBy>
  <cp:revision>3</cp:revision>
  <cp:lastPrinted>2025-05-27T02:43:00Z</cp:lastPrinted>
  <dcterms:created xsi:type="dcterms:W3CDTF">2026-03-13T09:09:00Z</dcterms:created>
  <dcterms:modified xsi:type="dcterms:W3CDTF">2026-03-13T09:18:00Z</dcterms:modified>
</cp:coreProperties>
</file>