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5E7ED" w14:textId="77777777" w:rsidR="00647008" w:rsidRDefault="00DB7FFE">
      <w:pPr>
        <w:pStyle w:val="Heading1"/>
        <w:spacing w:before="77"/>
        <w:ind w:left="1610"/>
      </w:pPr>
      <w:r>
        <w:rPr>
          <w:color w:val="1B1B1B"/>
        </w:rPr>
        <w:t>BẢN</w:t>
      </w:r>
      <w:r>
        <w:rPr>
          <w:color w:val="1B1B1B"/>
          <w:spacing w:val="-1"/>
        </w:rPr>
        <w:t xml:space="preserve"> </w:t>
      </w:r>
      <w:r>
        <w:rPr>
          <w:color w:val="1B1B1B"/>
        </w:rPr>
        <w:t>THÔNG TIN</w:t>
      </w:r>
      <w:r>
        <w:rPr>
          <w:color w:val="1B1B1B"/>
          <w:spacing w:val="-2"/>
        </w:rPr>
        <w:t xml:space="preserve"> </w:t>
      </w:r>
      <w:r>
        <w:rPr>
          <w:color w:val="1B1B1B"/>
        </w:rPr>
        <w:t>TÓM</w:t>
      </w:r>
      <w:r>
        <w:rPr>
          <w:color w:val="1B1B1B"/>
          <w:spacing w:val="-1"/>
        </w:rPr>
        <w:t xml:space="preserve"> </w:t>
      </w:r>
      <w:r>
        <w:rPr>
          <w:color w:val="1B1B1B"/>
        </w:rPr>
        <w:t>TẮT LUẬN</w:t>
      </w:r>
      <w:r>
        <w:rPr>
          <w:color w:val="1B1B1B"/>
          <w:spacing w:val="-1"/>
        </w:rPr>
        <w:t xml:space="preserve"> </w:t>
      </w:r>
      <w:r>
        <w:rPr>
          <w:color w:val="1B1B1B"/>
        </w:rPr>
        <w:t>VĂN</w:t>
      </w:r>
      <w:r>
        <w:rPr>
          <w:color w:val="1B1B1B"/>
          <w:spacing w:val="-2"/>
        </w:rPr>
        <w:t xml:space="preserve"> </w:t>
      </w:r>
      <w:r>
        <w:rPr>
          <w:color w:val="1B1B1B"/>
        </w:rPr>
        <w:t>THẠC</w:t>
      </w:r>
      <w:r>
        <w:rPr>
          <w:color w:val="1B1B1B"/>
          <w:spacing w:val="-1"/>
        </w:rPr>
        <w:t xml:space="preserve"> </w:t>
      </w:r>
      <w:r>
        <w:rPr>
          <w:color w:val="1B1B1B"/>
        </w:rPr>
        <w:t>SĨ</w:t>
      </w:r>
    </w:p>
    <w:p w14:paraId="7CCF2B1D" w14:textId="77777777" w:rsidR="00647008" w:rsidRPr="002656BD" w:rsidRDefault="00647008">
      <w:pPr>
        <w:pStyle w:val="BodyText"/>
        <w:spacing w:before="8"/>
        <w:rPr>
          <w:b/>
          <w:sz w:val="19"/>
        </w:rPr>
      </w:pPr>
    </w:p>
    <w:p w14:paraId="32B5E455" w14:textId="61A83586" w:rsidR="00647008" w:rsidRPr="00B2420E" w:rsidRDefault="00DB7FFE">
      <w:pPr>
        <w:ind w:left="838"/>
        <w:jc w:val="both"/>
        <w:rPr>
          <w:b/>
          <w:sz w:val="28"/>
          <w:lang w:val="en-GB"/>
        </w:rPr>
      </w:pPr>
      <w:r>
        <w:rPr>
          <w:color w:val="1B1B1B"/>
          <w:sz w:val="28"/>
        </w:rPr>
        <w:t>Tác</w:t>
      </w:r>
      <w:r>
        <w:rPr>
          <w:color w:val="1B1B1B"/>
          <w:spacing w:val="-2"/>
          <w:sz w:val="28"/>
        </w:rPr>
        <w:t xml:space="preserve"> </w:t>
      </w:r>
      <w:r>
        <w:rPr>
          <w:color w:val="1B1B1B"/>
          <w:sz w:val="28"/>
        </w:rPr>
        <w:t>giả:</w:t>
      </w:r>
      <w:r>
        <w:rPr>
          <w:color w:val="1B1B1B"/>
          <w:spacing w:val="-1"/>
          <w:sz w:val="28"/>
        </w:rPr>
        <w:t xml:space="preserve"> </w:t>
      </w:r>
      <w:r w:rsidR="0041611E">
        <w:rPr>
          <w:b/>
          <w:color w:val="1B1B1B"/>
          <w:sz w:val="28"/>
          <w:lang w:val="en-GB"/>
        </w:rPr>
        <w:t>TẠ HÀ GIANG</w:t>
      </w:r>
    </w:p>
    <w:p w14:paraId="070560D5" w14:textId="68D6150B" w:rsidR="00647008" w:rsidRPr="0055505D" w:rsidRDefault="00DB7FFE">
      <w:pPr>
        <w:pStyle w:val="BodyText"/>
        <w:spacing w:before="161" w:line="360" w:lineRule="auto"/>
        <w:ind w:left="838" w:right="4674"/>
        <w:jc w:val="both"/>
        <w:rPr>
          <w:lang w:val="en-US"/>
        </w:rPr>
      </w:pPr>
      <w:r>
        <w:rPr>
          <w:color w:val="1B1B1B"/>
        </w:rPr>
        <w:t>Chuyên ngành đào tạo: Luật Kinh tế</w:t>
      </w:r>
      <w:r>
        <w:rPr>
          <w:color w:val="1B1B1B"/>
          <w:spacing w:val="-67"/>
        </w:rPr>
        <w:t xml:space="preserve"> </w:t>
      </w:r>
      <w:r>
        <w:rPr>
          <w:color w:val="1B1B1B"/>
        </w:rPr>
        <w:t>Năm</w:t>
      </w:r>
      <w:r>
        <w:rPr>
          <w:color w:val="1B1B1B"/>
          <w:spacing w:val="-6"/>
        </w:rPr>
        <w:t xml:space="preserve"> </w:t>
      </w:r>
      <w:r>
        <w:rPr>
          <w:color w:val="1B1B1B"/>
        </w:rPr>
        <w:t>tốt</w:t>
      </w:r>
      <w:r>
        <w:rPr>
          <w:color w:val="1B1B1B"/>
          <w:spacing w:val="1"/>
        </w:rPr>
        <w:t xml:space="preserve"> </w:t>
      </w:r>
      <w:r>
        <w:rPr>
          <w:color w:val="1B1B1B"/>
        </w:rPr>
        <w:t>nghiệp:</w:t>
      </w:r>
      <w:r>
        <w:rPr>
          <w:color w:val="1B1B1B"/>
          <w:spacing w:val="1"/>
        </w:rPr>
        <w:t xml:space="preserve"> </w:t>
      </w:r>
      <w:r>
        <w:rPr>
          <w:color w:val="1B1B1B"/>
        </w:rPr>
        <w:t>20</w:t>
      </w:r>
      <w:r w:rsidR="0086522F">
        <w:rPr>
          <w:color w:val="1B1B1B"/>
          <w:lang w:val="vi-VN"/>
        </w:rPr>
        <w:t>2</w:t>
      </w:r>
      <w:r w:rsidR="00B2420E">
        <w:rPr>
          <w:color w:val="1B1B1B"/>
          <w:lang w:val="en-US"/>
        </w:rPr>
        <w:t>5</w:t>
      </w:r>
    </w:p>
    <w:p w14:paraId="74607795" w14:textId="01A5281F" w:rsidR="00647008" w:rsidRPr="0041611E" w:rsidRDefault="00DB7FFE">
      <w:pPr>
        <w:pStyle w:val="Heading1"/>
        <w:spacing w:line="360" w:lineRule="auto"/>
        <w:ind w:right="111" w:firstLine="719"/>
        <w:jc w:val="both"/>
        <w:rPr>
          <w:b w:val="0"/>
          <w:i/>
        </w:rPr>
      </w:pPr>
      <w:r>
        <w:rPr>
          <w:b w:val="0"/>
          <w:color w:val="1B1B1B"/>
        </w:rPr>
        <w:t>Tên đề</w:t>
      </w:r>
      <w:r>
        <w:rPr>
          <w:b w:val="0"/>
          <w:color w:val="1B1B1B"/>
          <w:spacing w:val="1"/>
        </w:rPr>
        <w:t xml:space="preserve"> </w:t>
      </w:r>
      <w:r>
        <w:rPr>
          <w:b w:val="0"/>
          <w:color w:val="1B1B1B"/>
        </w:rPr>
        <w:t>tài luận văn:</w:t>
      </w:r>
      <w:r>
        <w:rPr>
          <w:b w:val="0"/>
          <w:color w:val="1B1B1B"/>
          <w:spacing w:val="4"/>
        </w:rPr>
        <w:t xml:space="preserve"> </w:t>
      </w:r>
      <w:r w:rsidR="0086522F" w:rsidRPr="00F86BDC">
        <w:t>“</w:t>
      </w:r>
      <w:r w:rsidR="0041611E" w:rsidRPr="0041611E">
        <w:rPr>
          <w:i/>
          <w:color w:val="000000" w:themeColor="text1"/>
        </w:rPr>
        <w:t>Pháp luật về giải quyết tranh chấp hợp đồng chuyển nhượng quyền sử dụng đất từ thực tiễn xét xử Toà án nhân dân quận Đống Đa</w:t>
      </w:r>
      <w:r w:rsidR="0086522F" w:rsidRPr="0041611E">
        <w:rPr>
          <w:i/>
        </w:rPr>
        <w:t>”</w:t>
      </w:r>
    </w:p>
    <w:p w14:paraId="26748F6F" w14:textId="66DD91C5" w:rsidR="00D75C56" w:rsidRDefault="00D75C56" w:rsidP="00D75C56">
      <w:pPr>
        <w:spacing w:line="360" w:lineRule="auto"/>
        <w:ind w:firstLine="720"/>
        <w:jc w:val="both"/>
        <w:rPr>
          <w:color w:val="000000" w:themeColor="text1"/>
          <w:sz w:val="28"/>
          <w:szCs w:val="28"/>
        </w:rPr>
      </w:pPr>
      <w:r w:rsidRPr="009D1203">
        <w:rPr>
          <w:color w:val="000000" w:themeColor="text1"/>
          <w:sz w:val="28"/>
          <w:szCs w:val="28"/>
        </w:rPr>
        <w:t>Luận văn về "Giải quyết tranh chấp hợp đồng chuyển nhượng quyền sử dụng đất từ thực tiễn xét xử của Tòa án" không chỉ là một nghiên cứu chuyên sâu về vấn đề lý luận về pháp luật liên quan đến hợp đồng chuyển nhượng quyền sử dụng đất, mà còn là một công cụ quan trọng để tạo ra cơ sở lý thuyết vững chắc cho việc áp dụng vào thực tiễn giải quyết tranh chấp.</w:t>
      </w:r>
      <w:r>
        <w:rPr>
          <w:color w:val="000000" w:themeColor="text1"/>
          <w:sz w:val="28"/>
          <w:szCs w:val="28"/>
          <w:lang w:val="en-GB"/>
        </w:rPr>
        <w:t xml:space="preserve"> </w:t>
      </w:r>
      <w:r w:rsidRPr="009D1203">
        <w:rPr>
          <w:color w:val="000000" w:themeColor="text1"/>
          <w:sz w:val="28"/>
          <w:szCs w:val="28"/>
        </w:rPr>
        <w:t>Bằng việc nghiên cứu cơ chế giải quyết tranh chấp tại Tòa án, luận văn sẽ không chỉ giúp tổng kết thực tiễn mà còn phân tích các vướng mắc, bất cập trong quá trình này. Qua đó, từ những kết quả thu được, sẽ có những đề xuất giải pháp cụ thể và thiết thực nhằm nâng cao hiệu quả xét xử và đảm bảo công bằng cho tất cả các bên liên quan.</w:t>
      </w:r>
      <w:r>
        <w:rPr>
          <w:color w:val="000000" w:themeColor="text1"/>
          <w:sz w:val="28"/>
          <w:szCs w:val="28"/>
          <w:lang w:val="en-GB"/>
        </w:rPr>
        <w:t xml:space="preserve"> </w:t>
      </w:r>
      <w:r w:rsidRPr="009D1203">
        <w:rPr>
          <w:color w:val="000000" w:themeColor="text1"/>
          <w:sz w:val="28"/>
          <w:szCs w:val="28"/>
        </w:rPr>
        <w:t>Việc làm sáng tỏ những vấn đề lý luận về pháp luật liên q</w:t>
      </w:r>
      <w:bookmarkStart w:id="0" w:name="_GoBack"/>
      <w:bookmarkEnd w:id="0"/>
      <w:r w:rsidRPr="009D1203">
        <w:rPr>
          <w:color w:val="000000" w:themeColor="text1"/>
          <w:sz w:val="28"/>
          <w:szCs w:val="28"/>
        </w:rPr>
        <w:t>uan đến hợp đồng chuyển nhượng quyền sử dụng đất là bước quan trọng để định hình một cơ sở lý thuyết mạnh mẽ. Điều này sẽ giúp các nhà lập pháp, các nhà quản lý và các chuyên gia pháp lý có thêm kiến thức và thông tin cần thiết để xây dựng và cải thiện hệ thống pháp luật.</w:t>
      </w:r>
    </w:p>
    <w:p w14:paraId="7CD60AC1" w14:textId="1BA373AD" w:rsidR="00D75C56" w:rsidRPr="009D1203" w:rsidRDefault="00D75C56" w:rsidP="00D75C56">
      <w:pPr>
        <w:spacing w:line="360" w:lineRule="auto"/>
        <w:ind w:firstLine="720"/>
        <w:jc w:val="both"/>
        <w:rPr>
          <w:color w:val="000000" w:themeColor="text1"/>
          <w:sz w:val="28"/>
          <w:szCs w:val="28"/>
        </w:rPr>
      </w:pPr>
      <w:r>
        <w:rPr>
          <w:color w:val="000000" w:themeColor="text1"/>
          <w:sz w:val="28"/>
          <w:szCs w:val="28"/>
          <w:lang w:val="en-GB"/>
        </w:rPr>
        <w:t>Như vậy đề tài</w:t>
      </w:r>
      <w:r w:rsidRPr="009D1203">
        <w:rPr>
          <w:color w:val="000000" w:themeColor="text1"/>
          <w:sz w:val="28"/>
          <w:szCs w:val="28"/>
        </w:rPr>
        <w:t xml:space="preserve"> làm rõ vấn đề lý luận và thực tiễn giải quyết tranh chấp hợp đồng chuyển nhượng đất qua hoạt động xét xử của Tòa án, với mục tiêu hoàn thiện pháp luật và cải thiện chất lượng xét xử của Tòa án nhân dân, đặc biệt là tại quận Đống Đa. Nhiệm vụ của luận văn bao gồm làm rõ vấn đề lý luận và thực tiễn về thẩm quyền của Tòa án, tìm hiểu và phân tích các hạn chế trong pháp luật hiện hành, từ đó đề xuất giải pháp nhằm nâng cao chất lượng xét xử và hoàn thiện pháp luật về giải quyết tranh chấp hợp đồng chuyển nhượng quyền sử dụng đất.</w:t>
      </w:r>
    </w:p>
    <w:p w14:paraId="325ACB97" w14:textId="070E35C3" w:rsidR="00647008" w:rsidRPr="003C078B" w:rsidRDefault="00DB7FFE" w:rsidP="0023024D">
      <w:pPr>
        <w:spacing w:line="360" w:lineRule="auto"/>
        <w:ind w:firstLine="567"/>
        <w:jc w:val="both"/>
        <w:rPr>
          <w:color w:val="000000"/>
          <w:sz w:val="28"/>
          <w:szCs w:val="28"/>
          <w:lang w:val="en-GB"/>
        </w:rPr>
      </w:pPr>
      <w:r>
        <w:rPr>
          <w:b/>
          <w:sz w:val="28"/>
        </w:rPr>
        <w:t>Từ</w:t>
      </w:r>
      <w:r>
        <w:rPr>
          <w:b/>
          <w:spacing w:val="-1"/>
          <w:sz w:val="28"/>
        </w:rPr>
        <w:t xml:space="preserve"> </w:t>
      </w:r>
      <w:r>
        <w:rPr>
          <w:b/>
          <w:sz w:val="28"/>
        </w:rPr>
        <w:t>khóa:</w:t>
      </w:r>
      <w:r>
        <w:rPr>
          <w:b/>
          <w:spacing w:val="-2"/>
          <w:sz w:val="28"/>
        </w:rPr>
        <w:t xml:space="preserve"> </w:t>
      </w:r>
      <w:r w:rsidR="00D75C56">
        <w:rPr>
          <w:bCs/>
          <w:i/>
          <w:iCs/>
          <w:spacing w:val="-2"/>
          <w:sz w:val="28"/>
          <w:lang w:val="en-GB"/>
        </w:rPr>
        <w:t>quyền sử dụng đất; hợp đồng; tranh chấp đất đai</w:t>
      </w:r>
    </w:p>
    <w:p w14:paraId="60413007" w14:textId="77777777" w:rsidR="00647008" w:rsidRDefault="00DB7FFE" w:rsidP="003C078B">
      <w:pPr>
        <w:pStyle w:val="Heading1"/>
        <w:spacing w:before="165"/>
        <w:ind w:left="5904"/>
        <w:jc w:val="left"/>
      </w:pPr>
      <w:r>
        <w:t>Tác</w:t>
      </w:r>
      <w:r>
        <w:rPr>
          <w:spacing w:val="-3"/>
        </w:rPr>
        <w:t xml:space="preserve"> </w:t>
      </w:r>
      <w:r>
        <w:t>giả</w:t>
      </w:r>
      <w:r>
        <w:rPr>
          <w:spacing w:val="1"/>
        </w:rPr>
        <w:t xml:space="preserve"> </w:t>
      </w:r>
      <w:r>
        <w:t>luận</w:t>
      </w:r>
      <w:r>
        <w:rPr>
          <w:spacing w:val="-3"/>
        </w:rPr>
        <w:t xml:space="preserve"> </w:t>
      </w:r>
      <w:r>
        <w:t>văn</w:t>
      </w:r>
    </w:p>
    <w:p w14:paraId="3FDC6405" w14:textId="77777777" w:rsidR="00647008" w:rsidRDefault="00647008" w:rsidP="003C078B">
      <w:pPr>
        <w:pStyle w:val="BodyText"/>
        <w:rPr>
          <w:b/>
          <w:sz w:val="30"/>
        </w:rPr>
      </w:pPr>
    </w:p>
    <w:p w14:paraId="5BFE806B" w14:textId="298A39A3" w:rsidR="00647008" w:rsidRDefault="00647008" w:rsidP="003C078B">
      <w:pPr>
        <w:pStyle w:val="BodyText"/>
        <w:rPr>
          <w:b/>
          <w:sz w:val="30"/>
        </w:rPr>
      </w:pPr>
    </w:p>
    <w:p w14:paraId="36D1F40A" w14:textId="77777777" w:rsidR="003C078B" w:rsidRDefault="003C078B" w:rsidP="003C078B">
      <w:pPr>
        <w:pStyle w:val="BodyText"/>
        <w:rPr>
          <w:b/>
          <w:sz w:val="30"/>
        </w:rPr>
      </w:pPr>
    </w:p>
    <w:p w14:paraId="24CD8791" w14:textId="77777777" w:rsidR="003C078B" w:rsidRDefault="003C078B" w:rsidP="003C078B">
      <w:pPr>
        <w:spacing w:before="1"/>
        <w:ind w:left="5529" w:right="1531"/>
        <w:rPr>
          <w:b/>
          <w:sz w:val="28"/>
          <w:lang w:val="en-GB"/>
        </w:rPr>
      </w:pPr>
    </w:p>
    <w:p w14:paraId="5D1776B4" w14:textId="3F336D5D" w:rsidR="00647008" w:rsidRPr="003C078B" w:rsidRDefault="00016A1A" w:rsidP="003C078B">
      <w:pPr>
        <w:spacing w:before="1"/>
        <w:ind w:left="5529" w:right="1531"/>
        <w:rPr>
          <w:b/>
          <w:sz w:val="28"/>
          <w:lang w:val="en-GB"/>
        </w:rPr>
      </w:pPr>
      <w:r>
        <w:rPr>
          <w:b/>
          <w:sz w:val="28"/>
          <w:lang w:val="en-GB"/>
        </w:rPr>
        <w:t xml:space="preserve">         </w:t>
      </w:r>
      <w:r w:rsidR="00D75C56">
        <w:rPr>
          <w:b/>
          <w:sz w:val="28"/>
          <w:lang w:val="en-GB"/>
        </w:rPr>
        <w:t>Tạ Hà Giang</w:t>
      </w:r>
    </w:p>
    <w:sectPr w:rsidR="00647008" w:rsidRPr="003C078B">
      <w:type w:val="continuous"/>
      <w:pgSz w:w="11910" w:h="16840"/>
      <w:pgMar w:top="104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47008"/>
    <w:rsid w:val="00016A1A"/>
    <w:rsid w:val="0023024D"/>
    <w:rsid w:val="002656BD"/>
    <w:rsid w:val="003C078B"/>
    <w:rsid w:val="0041611E"/>
    <w:rsid w:val="0055505D"/>
    <w:rsid w:val="00647008"/>
    <w:rsid w:val="00681936"/>
    <w:rsid w:val="0086522F"/>
    <w:rsid w:val="0089055F"/>
    <w:rsid w:val="00A079FE"/>
    <w:rsid w:val="00B2420E"/>
    <w:rsid w:val="00D75C56"/>
    <w:rsid w:val="00DB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173"/>
  <w15:docId w15:val="{19C89506-D57C-8540-AC26-293E4003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118" w:right="153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PHẦN MỞ ĐẦU</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MỞ ĐẦU</dc:title>
  <dc:creator>HOA</dc:creator>
  <cp:lastModifiedBy>Phạm Hùng Cường</cp:lastModifiedBy>
  <cp:revision>7</cp:revision>
  <dcterms:created xsi:type="dcterms:W3CDTF">2024-05-05T02:06:00Z</dcterms:created>
  <dcterms:modified xsi:type="dcterms:W3CDTF">2025-11-14T08:40:00Z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Word 2010</vt:lpwstr>
  </property>
  <property fmtid="{D5CDD505-2E9C-101B-9397-08002B2CF9AE}" pid="4" name="LastSaved">
    <vt:filetime>2024-05-05T00:00:00Z</vt:filetime>
  </property>
</Properties>
</file>